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54522F92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</w:p>
    <w:p w14:paraId="259C7F95" w14:textId="5D1166E9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B71E7B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465B8D9" w14:textId="3C10E199" w:rsidR="00A7003A" w:rsidRPr="004B11D0" w:rsidRDefault="009F794D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9F794D">
        <w:rPr>
          <w:rFonts w:asciiTheme="minorHAnsi" w:hAnsiTheme="minorHAnsi" w:cstheme="minorHAnsi"/>
          <w:b/>
          <w:sz w:val="20"/>
          <w:szCs w:val="20"/>
          <w:lang w:eastAsia="en-US"/>
        </w:rPr>
        <w:t>Budowa powiązania kablem 0,4kV stacji " Ino Bajka 2" ze stacją " Ino</w:t>
      </w:r>
      <w:r w:rsidRPr="009F794D">
        <w:rPr>
          <w:rFonts w:asciiTheme="minorHAnsi" w:hAnsiTheme="minorHAnsi" w:cstheme="minorHAnsi"/>
          <w:b/>
          <w:sz w:val="20"/>
          <w:szCs w:val="20"/>
          <w:lang w:eastAsia="en-US"/>
        </w:rPr>
        <w:cr/>
        <w:t>Spółdzielnia Chemiczna" oraz " Ino Makuszyńskiego na terenie działek nr 213/68,</w:t>
      </w:r>
      <w:r w:rsidRPr="009F794D">
        <w:rPr>
          <w:rFonts w:asciiTheme="minorHAnsi" w:hAnsiTheme="minorHAnsi" w:cstheme="minorHAnsi"/>
          <w:b/>
          <w:sz w:val="20"/>
          <w:szCs w:val="20"/>
          <w:lang w:eastAsia="en-US"/>
        </w:rPr>
        <w:cr/>
        <w:t>57/2, 213/61, 4,37, 4/36 - S-2025-18188</w:t>
      </w:r>
      <w:r w:rsidR="00BF1933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A7003A"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A7003A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="00A7003A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="00A7003A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A7003A"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="00A7003A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532AC53A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</w:t>
      </w:r>
      <w:r w:rsidR="00061EF1" w:rsidRPr="00061EF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1EF1">
        <w:rPr>
          <w:rFonts w:asciiTheme="minorHAnsi" w:hAnsiTheme="minorHAnsi" w:cstheme="minorHAnsi"/>
          <w:sz w:val="20"/>
          <w:szCs w:val="20"/>
          <w:lang w:eastAsia="en-US"/>
        </w:rPr>
        <w:t>ofercie Wykonawcy oraz Warunkach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obejmuje również:</w:t>
      </w:r>
    </w:p>
    <w:p w14:paraId="29EDA063" w14:textId="77777777" w:rsidR="009F794D" w:rsidRPr="00200177" w:rsidRDefault="009F794D" w:rsidP="009F794D">
      <w:pPr>
        <w:pStyle w:val="Akapitzlist"/>
        <w:spacing w:before="0"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•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ab/>
        <w:t xml:space="preserve">pozyskaniem wszelkich zgód i decyzji organów administracji samorządowej i rządowej, </w:t>
      </w:r>
    </w:p>
    <w:p w14:paraId="1C2EBB33" w14:textId="77777777" w:rsidR="009F794D" w:rsidRPr="00200177" w:rsidRDefault="009F794D" w:rsidP="009F794D">
      <w:pPr>
        <w:pStyle w:val="Akapitzlist"/>
        <w:spacing w:before="0"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•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ab/>
        <w:t xml:space="preserve">pozyskaniem prawa do dysponowania nieruchomością i pisemnych zgód właścicieli nieruchomości na ustanowienie ograniczonego prawa rzeczowego w postaci służebności </w:t>
      </w:r>
      <w:proofErr w:type="spellStart"/>
      <w:r w:rsidRPr="00200177">
        <w:rPr>
          <w:rFonts w:asciiTheme="minorHAnsi" w:hAnsiTheme="minorHAnsi" w:cstheme="minorHAnsi"/>
          <w:sz w:val="20"/>
          <w:szCs w:val="20"/>
          <w:lang w:eastAsia="en-US"/>
        </w:rPr>
        <w:t>przesyłu</w:t>
      </w:r>
      <w:proofErr w:type="spellEnd"/>
      <w:r w:rsidRPr="00200177">
        <w:rPr>
          <w:rFonts w:asciiTheme="minorHAnsi" w:hAnsiTheme="minorHAnsi" w:cstheme="minorHAnsi"/>
          <w:sz w:val="20"/>
          <w:szCs w:val="20"/>
          <w:lang w:eastAsia="en-US"/>
        </w:rPr>
        <w:t xml:space="preserve"> lub innego trwałego tytułu prawnego do gruntu pod infrastrukturę elektroenergetyczną,</w:t>
      </w:r>
    </w:p>
    <w:p w14:paraId="47D06712" w14:textId="77777777" w:rsidR="009F794D" w:rsidRPr="00200177" w:rsidRDefault="009F794D" w:rsidP="009F794D">
      <w:pPr>
        <w:pStyle w:val="Akapitzlist"/>
        <w:spacing w:before="0"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•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ab/>
        <w:t>prowadzeniem postępowań sądowych w celu ustalenia spadkobierców w przypadku nieruchomości, które nie posiadają uregulowanych stanów prawnych,</w:t>
      </w:r>
    </w:p>
    <w:p w14:paraId="210F0BB0" w14:textId="77777777" w:rsidR="009F794D" w:rsidRPr="00200177" w:rsidRDefault="009F794D" w:rsidP="009F794D">
      <w:pPr>
        <w:pStyle w:val="Akapitzlist"/>
        <w:spacing w:before="0"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•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ab/>
        <w:t>prowadzeniem spraw administracyjnych w trybie art. 124 ust. 1 ustawy o gospodarce nieruchomościami z uwzględnieniem warunków zawartych w art. 128 tejże ustawy (Koszty oraz uczestnictwo w procesie administracyjnym związanym z realizacją art. 128 leżą po stronie  Zamawiającego)</w:t>
      </w:r>
    </w:p>
    <w:p w14:paraId="594012DD" w14:textId="77777777" w:rsidR="009F794D" w:rsidRPr="00200177" w:rsidRDefault="009F794D" w:rsidP="009F794D">
      <w:pPr>
        <w:pStyle w:val="Akapitzlist"/>
        <w:spacing w:before="0"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•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ab/>
        <w:t>prowadzeniem spraw administracyjnych w trybie art. 124a ustawy o gospodarce nieruchomościami (w przypadku braku Księgi Wieczystej lub braku zbiorów dokumentów określających stan prawny nieruchomości lub w przypadku niemożności określenia stanu prawnego nieruchomości z powodu braku spadkobierców),</w:t>
      </w:r>
    </w:p>
    <w:p w14:paraId="0A207D68" w14:textId="77777777" w:rsidR="009F794D" w:rsidRPr="00200177" w:rsidRDefault="009F794D" w:rsidP="009F794D">
      <w:pPr>
        <w:pStyle w:val="Akapitzlist"/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•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ab/>
        <w:t xml:space="preserve">ustalenie spadkobierców na drodze postępowania sądowego dla nieruchomości, które nie posiadają uregulowanych stanów prawnych </w:t>
      </w:r>
    </w:p>
    <w:p w14:paraId="1B77BF72" w14:textId="77777777" w:rsidR="009F794D" w:rsidRPr="00200177" w:rsidRDefault="009F794D" w:rsidP="009F794D">
      <w:pPr>
        <w:pStyle w:val="Akapitzlist"/>
        <w:spacing w:after="120"/>
        <w:ind w:left="426" w:hanging="142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•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ab/>
        <w:t xml:space="preserve">uzyskaniem decyzji administracyjnych na usunięcie drzew i zapewnienie wykonania </w:t>
      </w:r>
      <w:proofErr w:type="spellStart"/>
      <w:r w:rsidRPr="00200177">
        <w:rPr>
          <w:rFonts w:asciiTheme="minorHAnsi" w:hAnsiTheme="minorHAnsi" w:cstheme="minorHAnsi"/>
          <w:sz w:val="20"/>
          <w:szCs w:val="20"/>
          <w:lang w:eastAsia="en-US"/>
        </w:rPr>
        <w:t>nasadzeń</w:t>
      </w:r>
      <w:proofErr w:type="spellEnd"/>
      <w:r w:rsidRPr="00200177">
        <w:rPr>
          <w:rFonts w:asciiTheme="minorHAnsi" w:hAnsiTheme="minorHAnsi" w:cstheme="minorHAnsi"/>
          <w:sz w:val="20"/>
          <w:szCs w:val="20"/>
          <w:lang w:eastAsia="en-US"/>
        </w:rPr>
        <w:t xml:space="preserve"> zastępczych,</w:t>
      </w:r>
    </w:p>
    <w:p w14:paraId="5BF848E3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zajęciem pasa drogowego, wykonaniem projektu organizacji ruchu itp.</w:t>
      </w:r>
    </w:p>
    <w:p w14:paraId="5F110973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poniesieniem ryzyka handlowego wynikającego z realizacji zamówienia,</w:t>
      </w:r>
    </w:p>
    <w:p w14:paraId="2BA46A94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 xml:space="preserve">ubezpieczeniem i pozyskaniem polisy ubezpieczeniowej obejmującej transport do miejsca wskazanego przez </w:t>
      </w:r>
      <w:r w:rsidRPr="00200177">
        <w:rPr>
          <w:rFonts w:asciiTheme="minorHAnsi" w:hAnsiTheme="minorHAnsi" w:cstheme="minorHAnsi"/>
          <w:b/>
          <w:sz w:val="20"/>
          <w:szCs w:val="20"/>
          <w:lang w:eastAsia="en-US"/>
        </w:rPr>
        <w:t>Zamawiającego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5D997586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poniesieniem kosztów z tytułu korzystania na cele budowy z nieruchomości osób trzecich oraz ewentualnych szkód tym osobom wyrządzonym,</w:t>
      </w:r>
    </w:p>
    <w:p w14:paraId="633E73A3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wszystkimi wymaganymi badaniami i pomiarami,</w:t>
      </w:r>
    </w:p>
    <w:p w14:paraId="6DE72BDF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obsługą logistyczną,</w:t>
      </w:r>
    </w:p>
    <w:p w14:paraId="588B0D49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 xml:space="preserve">wymaganymi w kraju </w:t>
      </w:r>
      <w:r w:rsidRPr="0020017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Zamawiającego </w:t>
      </w:r>
      <w:r w:rsidRPr="00200177">
        <w:rPr>
          <w:rFonts w:asciiTheme="minorHAnsi" w:hAnsiTheme="minorHAnsi" w:cstheme="minorHAnsi"/>
          <w:sz w:val="20"/>
          <w:szCs w:val="20"/>
          <w:lang w:eastAsia="en-US"/>
        </w:rPr>
        <w:t>atestami, podatkami, licencjami, zezwoleniami, cłami oraz innymi opłatami niezbędnymi do uzyskania w celu prawidłowej realizacji przedmiotu umowy,</w:t>
      </w:r>
    </w:p>
    <w:p w14:paraId="69898C59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serwisem w okresie gwarancji,</w:t>
      </w:r>
    </w:p>
    <w:p w14:paraId="5CDA2293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 xml:space="preserve">dostarczeniem instrukcji obsługi i montażu w języku polskim, </w:t>
      </w:r>
    </w:p>
    <w:p w14:paraId="376D3EFD" w14:textId="77777777" w:rsidR="009F794D" w:rsidRPr="00200177" w:rsidRDefault="009F794D" w:rsidP="009F794D">
      <w:pPr>
        <w:pStyle w:val="Akapitzlist"/>
        <w:numPr>
          <w:ilvl w:val="0"/>
          <w:numId w:val="48"/>
        </w:numPr>
        <w:spacing w:after="120"/>
        <w:ind w:left="426" w:hanging="142"/>
        <w:rPr>
          <w:rFonts w:asciiTheme="minorHAnsi" w:hAnsiTheme="minorHAnsi" w:cstheme="minorHAnsi"/>
          <w:sz w:val="20"/>
          <w:szCs w:val="20"/>
          <w:lang w:eastAsia="en-US"/>
        </w:rPr>
      </w:pPr>
      <w:r w:rsidRPr="00200177">
        <w:rPr>
          <w:rFonts w:asciiTheme="minorHAnsi" w:hAnsiTheme="minorHAnsi" w:cstheme="minorHAnsi"/>
          <w:sz w:val="20"/>
          <w:szCs w:val="20"/>
          <w:lang w:eastAsia="en-US"/>
        </w:rPr>
        <w:t>poniesieniem kosztów ewentualnej obsługi archeologicznej, w przypadku gdy będą występować,</w:t>
      </w:r>
    </w:p>
    <w:p w14:paraId="37C8C20D" w14:textId="333041B3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9F794D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8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 xml:space="preserve"> godzin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proofErr w:type="spellStart"/>
      <w:r w:rsidRPr="004B11D0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</w:t>
      </w:r>
      <w:r w:rsidR="00C1513F">
        <w:rPr>
          <w:rFonts w:asciiTheme="minorHAnsi" w:hAnsiTheme="minorHAnsi" w:cstheme="minorHAnsi"/>
          <w:sz w:val="20"/>
          <w:szCs w:val="20"/>
          <w:lang w:eastAsia="en-US"/>
        </w:rPr>
        <w:t xml:space="preserve"> związanych z wyłączeniem odbiorców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 godzinach od 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7:00 do 15:00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zgodnie z Warunkami Zamówienia. Agregaty prądotwórcze zapewnia Wykonawca. 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50D9FA9D" w14:textId="2F7C64CE" w:rsidR="00394ACE" w:rsidRPr="004B11D0" w:rsidRDefault="00394ACE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color w:val="212121"/>
          <w:sz w:val="20"/>
          <w:szCs w:val="20"/>
          <w:highlight w:val="yellow"/>
        </w:rPr>
      </w:pP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Zamawiający nie wyraża zgody na realizację przedmiotu Umowy przez Podwykonawców Wykonawcy.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48DF2B7F" w14:textId="77777777" w:rsidR="009F794D" w:rsidRPr="0000796F" w:rsidRDefault="009F794D" w:rsidP="00A15D5B">
      <w:pPr>
        <w:pStyle w:val="Akapitzlist"/>
        <w:spacing w:after="120"/>
        <w:contextualSpacing w:val="0"/>
        <w:rPr>
          <w:rFonts w:asciiTheme="minorHAnsi" w:hAnsiTheme="minorHAnsi" w:cstheme="minorHAnsi"/>
          <w:sz w:val="20"/>
          <w:szCs w:val="20"/>
        </w:rPr>
      </w:pPr>
      <w:r w:rsidRPr="0000796F">
        <w:rPr>
          <w:rFonts w:asciiTheme="minorHAnsi" w:hAnsiTheme="minorHAnsi" w:cstheme="minorHAnsi"/>
          <w:sz w:val="20"/>
          <w:szCs w:val="20"/>
        </w:rPr>
        <w:t xml:space="preserve">Wprowadza się uzupełnienie pkt. 9 ust. 5 lit. a) OWW </w:t>
      </w:r>
    </w:p>
    <w:p w14:paraId="34948DDD" w14:textId="77777777" w:rsidR="009F794D" w:rsidRPr="00217324" w:rsidRDefault="009F794D" w:rsidP="00A15D5B">
      <w:pPr>
        <w:pStyle w:val="Akapitzlist"/>
        <w:spacing w:after="120"/>
        <w:contextualSpacing w:val="0"/>
        <w:rPr>
          <w:rFonts w:asciiTheme="minorHAnsi" w:hAnsiTheme="minorHAnsi" w:cstheme="minorHAnsi"/>
          <w:sz w:val="20"/>
          <w:szCs w:val="20"/>
        </w:rPr>
      </w:pPr>
      <w:r w:rsidRPr="0000796F">
        <w:rPr>
          <w:rFonts w:asciiTheme="minorHAnsi" w:hAnsiTheme="minorHAnsi" w:cstheme="minorHAnsi"/>
          <w:sz w:val="20"/>
          <w:szCs w:val="20"/>
        </w:rPr>
        <w:t>„Brak powiadomienia Wykonawcy przez Zamawiającego o rezygnacji z dokonania diagnostyki linii kablowej, w terminie jak wyżej, jest jednoznaczne z rezygnacją Zamawiającego z przeprowadzenia diagnostyki”.</w:t>
      </w:r>
    </w:p>
    <w:p w14:paraId="145637E6" w14:textId="605EF7FC" w:rsidR="00FD522B" w:rsidRPr="004B11D0" w:rsidRDefault="00FD522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78FE7F6A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w</w:t>
      </w:r>
      <w:r w:rsidR="00A15D5B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 xml:space="preserve"> </w:t>
      </w:r>
      <w:r w:rsidR="009F794D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RD Inowrocław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 xml:space="preserve"> przy ulicy</w:t>
      </w:r>
      <w:r w:rsidR="009F794D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 xml:space="preserve"> Szymborskiej 32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ateriały z demontażu, celem dalszego wykorzystania.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5EC796E7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9F794D" w:rsidRPr="00A15D5B">
        <w:rPr>
          <w:rFonts w:asciiTheme="minorHAnsi" w:hAnsiTheme="minorHAnsi" w:cstheme="minorHAnsi"/>
          <w:b/>
          <w:sz w:val="20"/>
          <w:szCs w:val="20"/>
          <w:highlight w:val="yellow"/>
        </w:rPr>
        <w:t>4</w:t>
      </w:r>
      <w:r w:rsidR="00A15D5B" w:rsidRPr="00A15D5B">
        <w:rPr>
          <w:rFonts w:asciiTheme="minorHAnsi" w:hAnsiTheme="minorHAnsi"/>
          <w:b/>
          <w:sz w:val="20"/>
          <w:highlight w:val="yellow"/>
        </w:rPr>
        <w:t xml:space="preserve"> </w:t>
      </w:r>
      <w:r w:rsidR="00E019BF" w:rsidRPr="00A15D5B">
        <w:rPr>
          <w:rFonts w:asciiTheme="minorHAnsi" w:hAnsiTheme="minorHAnsi"/>
          <w:b/>
          <w:sz w:val="20"/>
          <w:highlight w:val="yellow"/>
        </w:rPr>
        <w:t>miesięcy</w:t>
      </w:r>
      <w:r w:rsidRPr="00A15D5B">
        <w:rPr>
          <w:rFonts w:asciiTheme="minorHAnsi" w:hAnsiTheme="minorHAnsi" w:cstheme="minorHAnsi"/>
          <w:b/>
          <w:sz w:val="20"/>
          <w:szCs w:val="20"/>
        </w:rPr>
        <w:t xml:space="preserve"> od dnia zawarcia Umowy</w:t>
      </w:r>
    </w:p>
    <w:p w14:paraId="6B1E0C21" w14:textId="72E9A13C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 terminie</w:t>
      </w:r>
      <w:r w:rsidR="00A15D5B">
        <w:rPr>
          <w:rFonts w:asciiTheme="minorHAnsi" w:hAnsiTheme="minorHAnsi"/>
          <w:color w:val="000000" w:themeColor="text1"/>
          <w:sz w:val="20"/>
        </w:rPr>
        <w:t xml:space="preserve"> </w:t>
      </w:r>
      <w:r w:rsidR="009F794D">
        <w:rPr>
          <w:rFonts w:asciiTheme="minorHAnsi" w:hAnsiTheme="minorHAnsi"/>
          <w:b/>
          <w:color w:val="000000" w:themeColor="text1"/>
          <w:sz w:val="20"/>
          <w:highlight w:val="yellow"/>
        </w:rPr>
        <w:t>14</w:t>
      </w:r>
      <w:r w:rsidRPr="00FD5853">
        <w:rPr>
          <w:rFonts w:asciiTheme="minorHAnsi" w:hAnsiTheme="minorHAnsi"/>
          <w:b/>
          <w:color w:val="000000" w:themeColor="text1"/>
          <w:sz w:val="20"/>
          <w:highlight w:val="yellow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36CFEDE3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69154E1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9F794D">
        <w:rPr>
          <w:rFonts w:asciiTheme="minorHAnsi" w:hAnsiTheme="minorHAnsi" w:cstheme="minorHAnsi"/>
          <w:b/>
          <w:iCs/>
          <w:sz w:val="20"/>
          <w:szCs w:val="20"/>
        </w:rPr>
        <w:t>Dział Majątku Sieciowy RD2 Inowrocław</w:t>
      </w:r>
    </w:p>
    <w:p w14:paraId="3511B6BD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039C4B54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lastRenderedPageBreak/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61E97A96" w14:textId="58E6BF60" w:rsidR="00A26E9E" w:rsidRPr="00217324" w:rsidRDefault="00060645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0CF4DC17" w:rsidR="003C7F62" w:rsidRPr="006C289F" w:rsidRDefault="006C289F" w:rsidP="006C289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6C289F">
        <w:rPr>
          <w:rFonts w:asciiTheme="minorHAnsi" w:hAnsiTheme="minorHAnsi" w:cstheme="minorHAnsi"/>
          <w:sz w:val="20"/>
          <w:szCs w:val="20"/>
        </w:rPr>
        <w:t>3</w:t>
      </w:r>
      <w:r w:rsidRPr="006C289F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6C289F">
        <w:rPr>
          <w:rFonts w:asciiTheme="minorHAnsi" w:hAnsiTheme="minorHAnsi" w:cstheme="minorHAnsi"/>
          <w:sz w:val="20"/>
          <w:szCs w:val="20"/>
          <w:highlight w:val="yellow"/>
        </w:rPr>
        <w:t xml:space="preserve">W przypadku niniejszej Umowy </w:t>
      </w:r>
      <w:r w:rsidRPr="006C289F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nie stosuje się</w:t>
      </w:r>
      <w:r w:rsidRPr="006C289F">
        <w:rPr>
          <w:rFonts w:asciiTheme="minorHAnsi" w:hAnsiTheme="minorHAnsi" w:cstheme="minorHAnsi"/>
          <w:sz w:val="20"/>
          <w:szCs w:val="20"/>
          <w:highlight w:val="yellow"/>
        </w:rPr>
        <w:t xml:space="preserve"> zabezpieczeni</w:t>
      </w:r>
      <w:r>
        <w:rPr>
          <w:rFonts w:asciiTheme="minorHAnsi" w:hAnsiTheme="minorHAnsi" w:cstheme="minorHAnsi"/>
          <w:sz w:val="20"/>
          <w:szCs w:val="20"/>
          <w:highlight w:val="yellow"/>
        </w:rPr>
        <w:t>a</w:t>
      </w:r>
      <w:r w:rsidRPr="006C289F">
        <w:rPr>
          <w:rFonts w:asciiTheme="minorHAnsi" w:hAnsiTheme="minorHAnsi" w:cstheme="minorHAnsi"/>
          <w:sz w:val="20"/>
          <w:szCs w:val="20"/>
          <w:highlight w:val="yellow"/>
        </w:rPr>
        <w:t xml:space="preserve"> należytego wykonania Umowy, o którym mowa w pkt. 17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77777777" w:rsidR="002859BB" w:rsidRPr="00E63711" w:rsidRDefault="002859BB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>……………………………………….</w:t>
      </w:r>
    </w:p>
    <w:p w14:paraId="425EA25A" w14:textId="77777777" w:rsidR="002859BB" w:rsidRPr="008E480A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>……………………………………….</w:t>
      </w:r>
    </w:p>
    <w:p w14:paraId="43872F1C" w14:textId="4227AD60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……………….., ....-……</w:t>
      </w:r>
    </w:p>
    <w:p w14:paraId="31B8CC7E" w14:textId="5E6AC647" w:rsidR="006D4031" w:rsidRPr="00CB0A89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lastRenderedPageBreak/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389F1468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Strony oświadczają, iż w związku z wykonywaniem niniejszej Umowy nie dojdzie do powierzenia przetwarzania danych osobowych. W przypadku, gdyby jednak w trakcie wykonywania Umowy 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1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10205CF9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56616D">
        <w:rPr>
          <w:rFonts w:asciiTheme="minorHAnsi" w:hAnsiTheme="minorHAnsi"/>
          <w:sz w:val="18"/>
          <w:highlight w:val="yellow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RPUZ/</w:t>
      </w:r>
      <w:r w:rsidR="00A50F8F" w:rsidRPr="0056616D">
        <w:rPr>
          <w:rFonts w:asciiTheme="minorHAnsi" w:hAnsiTheme="minorHAnsi"/>
          <w:sz w:val="18"/>
          <w:highlight w:val="yellow"/>
        </w:rPr>
        <w:t>…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2775A3DF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EECE" w14:textId="77777777" w:rsidR="009F794D" w:rsidRDefault="009F794D" w:rsidP="009F794D">
      <w:pPr>
        <w:spacing w:before="0"/>
      </w:pPr>
      <w:r>
        <w:separator/>
      </w:r>
    </w:p>
  </w:endnote>
  <w:endnote w:type="continuationSeparator" w:id="0">
    <w:p w14:paraId="180B28DB" w14:textId="77777777" w:rsidR="009F794D" w:rsidRDefault="009F794D" w:rsidP="009F794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A602" w14:textId="77777777" w:rsidR="009F794D" w:rsidRDefault="009F794D" w:rsidP="009F794D">
      <w:pPr>
        <w:spacing w:before="0"/>
      </w:pPr>
      <w:r>
        <w:separator/>
      </w:r>
    </w:p>
  </w:footnote>
  <w:footnote w:type="continuationSeparator" w:id="0">
    <w:p w14:paraId="7686CDDE" w14:textId="77777777" w:rsidR="009F794D" w:rsidRDefault="009F794D" w:rsidP="009F794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03" w:type="dxa"/>
      <w:tblInd w:w="-804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703"/>
    </w:tblGrid>
    <w:tr w:rsidR="009F794D" w:rsidRPr="00E30AFA" w14:paraId="620B69C2" w14:textId="77777777" w:rsidTr="00A15D5B">
      <w:trPr>
        <w:cantSplit/>
        <w:trHeight w:val="429"/>
      </w:trPr>
      <w:tc>
        <w:tcPr>
          <w:tcW w:w="10703" w:type="dxa"/>
          <w:vAlign w:val="bottom"/>
        </w:tcPr>
        <w:p w14:paraId="4B5A4B66" w14:textId="77777777" w:rsidR="009F794D" w:rsidRPr="00533CFE" w:rsidRDefault="009F794D" w:rsidP="009F794D">
          <w:pPr>
            <w:pStyle w:val="Nagwek"/>
            <w:jc w:val="right"/>
            <w:rPr>
              <w:sz w:val="20"/>
              <w:szCs w:val="20"/>
            </w:rPr>
          </w:pPr>
          <w:r w:rsidRPr="00533CFE">
            <w:rPr>
              <w:sz w:val="20"/>
              <w:szCs w:val="20"/>
            </w:rPr>
            <w:t>oznaczenie sprawy</w:t>
          </w:r>
        </w:p>
      </w:tc>
    </w:tr>
    <w:tr w:rsidR="009F794D" w:rsidRPr="00126099" w14:paraId="3AF0E6EA" w14:textId="77777777" w:rsidTr="00A15D5B">
      <w:trPr>
        <w:cantSplit/>
        <w:trHeight w:val="368"/>
      </w:trPr>
      <w:tc>
        <w:tcPr>
          <w:tcW w:w="10703" w:type="dxa"/>
          <w:tcBorders>
            <w:bottom w:val="single" w:sz="4" w:space="0" w:color="auto"/>
          </w:tcBorders>
          <w:vAlign w:val="center"/>
        </w:tcPr>
        <w:p w14:paraId="6AE53248" w14:textId="2F2F52AF" w:rsidR="009F794D" w:rsidRPr="004954C7" w:rsidRDefault="009F794D" w:rsidP="009F794D">
          <w:pPr>
            <w:pStyle w:val="Tytu"/>
            <w:spacing w:line="240" w:lineRule="auto"/>
            <w:jc w:val="right"/>
            <w:rPr>
              <w:rFonts w:ascii="Tahoma" w:hAnsi="Tahoma" w:cs="Tahoma"/>
              <w:bCs/>
              <w:spacing w:val="-20"/>
              <w:highlight w:val="green"/>
            </w:rPr>
          </w:pPr>
          <w:r w:rsidRPr="004954C7">
            <w:rPr>
              <w:rFonts w:ascii="Tahoma" w:hAnsi="Tahoma" w:cs="Tahoma"/>
              <w:bCs/>
              <w:caps/>
            </w:rPr>
            <w:t>RPUZ/B/</w:t>
          </w:r>
          <w:r>
            <w:rPr>
              <w:rFonts w:ascii="Tahoma" w:hAnsi="Tahoma" w:cs="Tahoma"/>
              <w:bCs/>
              <w:caps/>
            </w:rPr>
            <w:t>…………….</w:t>
          </w:r>
          <w:r w:rsidRPr="004954C7">
            <w:rPr>
              <w:rFonts w:ascii="Tahoma" w:hAnsi="Tahoma" w:cs="Tahoma"/>
              <w:bCs/>
              <w:caps/>
            </w:rPr>
            <w:t>/2025/OD/RD-2</w:t>
          </w:r>
        </w:p>
        <w:p w14:paraId="75C6E931" w14:textId="77777777" w:rsidR="009F794D" w:rsidRPr="00533CFE" w:rsidRDefault="009F794D" w:rsidP="009F794D">
          <w:pPr>
            <w:pStyle w:val="Tytu"/>
            <w:spacing w:line="240" w:lineRule="auto"/>
            <w:jc w:val="right"/>
            <w:rPr>
              <w:rFonts w:ascii="Tahoma" w:hAnsi="Tahoma" w:cs="Tahoma"/>
              <w:bCs/>
              <w:spacing w:val="-20"/>
              <w:highlight w:val="green"/>
            </w:rPr>
          </w:pPr>
          <w:r w:rsidRPr="00533CFE">
            <w:rPr>
              <w:rFonts w:ascii="Tahoma" w:hAnsi="Tahoma" w:cs="Tahoma"/>
              <w:bCs/>
              <w:spacing w:val="-20"/>
              <w:highlight w:val="green"/>
            </w:rPr>
            <w:t>CRU/B/………………..</w:t>
          </w:r>
        </w:p>
        <w:p w14:paraId="6AECF283" w14:textId="77777777" w:rsidR="009F794D" w:rsidRPr="00533CFE" w:rsidRDefault="009F794D" w:rsidP="009F794D">
          <w:pPr>
            <w:pStyle w:val="Tytu"/>
            <w:spacing w:line="240" w:lineRule="auto"/>
            <w:jc w:val="right"/>
            <w:rPr>
              <w:rFonts w:ascii="Tahoma" w:hAnsi="Tahoma" w:cs="Tahoma"/>
              <w:bCs/>
              <w:spacing w:val="-20"/>
              <w:highlight w:val="green"/>
            </w:rPr>
          </w:pPr>
          <w:r w:rsidRPr="00533CFE">
            <w:rPr>
              <w:rFonts w:ascii="Tahoma" w:hAnsi="Tahoma" w:cs="Tahoma"/>
              <w:bCs/>
              <w:spacing w:val="-20"/>
              <w:highlight w:val="green"/>
            </w:rPr>
            <w:t>CRU/U/1200/……….</w:t>
          </w:r>
        </w:p>
        <w:p w14:paraId="1F207338" w14:textId="7A84394E" w:rsidR="009F794D" w:rsidRPr="00533CFE" w:rsidRDefault="009F794D" w:rsidP="009F794D">
          <w:pPr>
            <w:pStyle w:val="Tytu"/>
            <w:spacing w:line="240" w:lineRule="auto"/>
            <w:jc w:val="right"/>
            <w:rPr>
              <w:rFonts w:ascii="Tahoma" w:hAnsi="Tahoma" w:cs="Tahoma"/>
              <w:bCs/>
              <w:spacing w:val="-20"/>
              <w:highlight w:val="yellow"/>
            </w:rPr>
          </w:pPr>
          <w:r w:rsidRPr="004954C7">
            <w:rPr>
              <w:rFonts w:ascii="Tahoma" w:hAnsi="Tahoma" w:cs="Tahoma"/>
              <w:bCs/>
              <w:spacing w:val="-20"/>
            </w:rPr>
            <w:t>S – 2025-</w:t>
          </w:r>
          <w:r>
            <w:rPr>
              <w:rFonts w:ascii="Tahoma" w:hAnsi="Tahoma" w:cs="Tahoma"/>
              <w:bCs/>
              <w:spacing w:val="-20"/>
            </w:rPr>
            <w:t>……………….</w:t>
          </w:r>
        </w:p>
      </w:tc>
    </w:tr>
  </w:tbl>
  <w:p w14:paraId="44547F5B" w14:textId="77777777" w:rsidR="009F794D" w:rsidRDefault="009F79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2074249"/>
    <w:multiLevelType w:val="hybridMultilevel"/>
    <w:tmpl w:val="5D4483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5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3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4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7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0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2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5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8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3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6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7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728001">
    <w:abstractNumId w:val="37"/>
  </w:num>
  <w:num w:numId="2" w16cid:durableId="942762160">
    <w:abstractNumId w:val="44"/>
  </w:num>
  <w:num w:numId="3" w16cid:durableId="1603882195">
    <w:abstractNumId w:val="12"/>
  </w:num>
  <w:num w:numId="4" w16cid:durableId="295457744">
    <w:abstractNumId w:val="38"/>
  </w:num>
  <w:num w:numId="5" w16cid:durableId="1935556887">
    <w:abstractNumId w:val="47"/>
  </w:num>
  <w:num w:numId="6" w16cid:durableId="1711757685">
    <w:abstractNumId w:val="18"/>
  </w:num>
  <w:num w:numId="7" w16cid:durableId="478347702">
    <w:abstractNumId w:val="29"/>
  </w:num>
  <w:num w:numId="8" w16cid:durableId="254752533">
    <w:abstractNumId w:val="26"/>
  </w:num>
  <w:num w:numId="9" w16cid:durableId="1943878125">
    <w:abstractNumId w:val="46"/>
  </w:num>
  <w:num w:numId="10" w16cid:durableId="2019458760">
    <w:abstractNumId w:val="31"/>
  </w:num>
  <w:num w:numId="11" w16cid:durableId="1924948162">
    <w:abstractNumId w:val="8"/>
  </w:num>
  <w:num w:numId="12" w16cid:durableId="61755854">
    <w:abstractNumId w:val="19"/>
  </w:num>
  <w:num w:numId="13" w16cid:durableId="250508775">
    <w:abstractNumId w:val="40"/>
  </w:num>
  <w:num w:numId="14" w16cid:durableId="777485602">
    <w:abstractNumId w:val="45"/>
  </w:num>
  <w:num w:numId="15" w16cid:durableId="1246845309">
    <w:abstractNumId w:val="25"/>
  </w:num>
  <w:num w:numId="16" w16cid:durableId="1109619864">
    <w:abstractNumId w:val="11"/>
  </w:num>
  <w:num w:numId="17" w16cid:durableId="359124">
    <w:abstractNumId w:val="0"/>
  </w:num>
  <w:num w:numId="18" w16cid:durableId="1631400724">
    <w:abstractNumId w:val="22"/>
  </w:num>
  <w:num w:numId="19" w16cid:durableId="1767119012">
    <w:abstractNumId w:val="34"/>
  </w:num>
  <w:num w:numId="20" w16cid:durableId="817767744">
    <w:abstractNumId w:val="10"/>
  </w:num>
  <w:num w:numId="21" w16cid:durableId="2081560098">
    <w:abstractNumId w:val="36"/>
  </w:num>
  <w:num w:numId="22" w16cid:durableId="193930195">
    <w:abstractNumId w:val="42"/>
  </w:num>
  <w:num w:numId="23" w16cid:durableId="1432582264">
    <w:abstractNumId w:val="3"/>
  </w:num>
  <w:num w:numId="24" w16cid:durableId="772868702">
    <w:abstractNumId w:val="9"/>
  </w:num>
  <w:num w:numId="25" w16cid:durableId="43336958">
    <w:abstractNumId w:val="35"/>
  </w:num>
  <w:num w:numId="26" w16cid:durableId="842279981">
    <w:abstractNumId w:val="20"/>
  </w:num>
  <w:num w:numId="27" w16cid:durableId="1482581833">
    <w:abstractNumId w:val="43"/>
  </w:num>
  <w:num w:numId="28" w16cid:durableId="477695604">
    <w:abstractNumId w:val="15"/>
  </w:num>
  <w:num w:numId="29" w16cid:durableId="325937895">
    <w:abstractNumId w:val="32"/>
  </w:num>
  <w:num w:numId="30" w16cid:durableId="1671522779">
    <w:abstractNumId w:val="1"/>
  </w:num>
  <w:num w:numId="31" w16cid:durableId="1791851893">
    <w:abstractNumId w:val="27"/>
  </w:num>
  <w:num w:numId="32" w16cid:durableId="1503929901">
    <w:abstractNumId w:val="28"/>
  </w:num>
  <w:num w:numId="33" w16cid:durableId="1760325780">
    <w:abstractNumId w:val="23"/>
  </w:num>
  <w:num w:numId="34" w16cid:durableId="441269240">
    <w:abstractNumId w:val="2"/>
  </w:num>
  <w:num w:numId="35" w16cid:durableId="990796024">
    <w:abstractNumId w:val="41"/>
  </w:num>
  <w:num w:numId="36" w16cid:durableId="1549759215">
    <w:abstractNumId w:val="30"/>
  </w:num>
  <w:num w:numId="37" w16cid:durableId="507790305">
    <w:abstractNumId w:val="6"/>
  </w:num>
  <w:num w:numId="38" w16cid:durableId="107546630">
    <w:abstractNumId w:val="14"/>
  </w:num>
  <w:num w:numId="39" w16cid:durableId="1034119622">
    <w:abstractNumId w:val="7"/>
  </w:num>
  <w:num w:numId="40" w16cid:durableId="919413122">
    <w:abstractNumId w:val="21"/>
  </w:num>
  <w:num w:numId="41" w16cid:durableId="18209221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0410483">
    <w:abstractNumId w:val="16"/>
  </w:num>
  <w:num w:numId="43" w16cid:durableId="1071079176">
    <w:abstractNumId w:val="33"/>
  </w:num>
  <w:num w:numId="44" w16cid:durableId="279653978">
    <w:abstractNumId w:val="24"/>
  </w:num>
  <w:num w:numId="45" w16cid:durableId="1400055979">
    <w:abstractNumId w:val="5"/>
  </w:num>
  <w:num w:numId="46" w16cid:durableId="46998576">
    <w:abstractNumId w:val="17"/>
  </w:num>
  <w:num w:numId="47" w16cid:durableId="1486240570">
    <w:abstractNumId w:val="13"/>
  </w:num>
  <w:num w:numId="48" w16cid:durableId="2603364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EF1"/>
    <w:rsid w:val="00061F79"/>
    <w:rsid w:val="0006405E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23848"/>
    <w:rsid w:val="00271F33"/>
    <w:rsid w:val="00273624"/>
    <w:rsid w:val="002859BB"/>
    <w:rsid w:val="00296F18"/>
    <w:rsid w:val="002A465E"/>
    <w:rsid w:val="002A7B40"/>
    <w:rsid w:val="002E7356"/>
    <w:rsid w:val="002F0EA3"/>
    <w:rsid w:val="003035AB"/>
    <w:rsid w:val="003119D2"/>
    <w:rsid w:val="0032327D"/>
    <w:rsid w:val="00332081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01470"/>
    <w:rsid w:val="004829D3"/>
    <w:rsid w:val="00497F34"/>
    <w:rsid w:val="004B11D0"/>
    <w:rsid w:val="00513D01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289F"/>
    <w:rsid w:val="006C3BBC"/>
    <w:rsid w:val="006D4031"/>
    <w:rsid w:val="00710168"/>
    <w:rsid w:val="00731CB2"/>
    <w:rsid w:val="00771B3D"/>
    <w:rsid w:val="00784928"/>
    <w:rsid w:val="007877E4"/>
    <w:rsid w:val="007A0975"/>
    <w:rsid w:val="007C4F06"/>
    <w:rsid w:val="007D665A"/>
    <w:rsid w:val="007F4F7A"/>
    <w:rsid w:val="008231C9"/>
    <w:rsid w:val="00842F53"/>
    <w:rsid w:val="00846E4D"/>
    <w:rsid w:val="00852CFE"/>
    <w:rsid w:val="00877723"/>
    <w:rsid w:val="008A3C4E"/>
    <w:rsid w:val="008B2109"/>
    <w:rsid w:val="008D42A4"/>
    <w:rsid w:val="008E480A"/>
    <w:rsid w:val="008E4D36"/>
    <w:rsid w:val="008E7BAA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9F794D"/>
    <w:rsid w:val="00A15D5B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C58D1"/>
    <w:rsid w:val="00AD04C5"/>
    <w:rsid w:val="00AF7EA5"/>
    <w:rsid w:val="00B21460"/>
    <w:rsid w:val="00B2220D"/>
    <w:rsid w:val="00B43595"/>
    <w:rsid w:val="00B71E7B"/>
    <w:rsid w:val="00BC0817"/>
    <w:rsid w:val="00BD4D4F"/>
    <w:rsid w:val="00BE3BFF"/>
    <w:rsid w:val="00BE728A"/>
    <w:rsid w:val="00BF1933"/>
    <w:rsid w:val="00C1513F"/>
    <w:rsid w:val="00C23CC2"/>
    <w:rsid w:val="00C444EE"/>
    <w:rsid w:val="00CA5BE4"/>
    <w:rsid w:val="00CB0A89"/>
    <w:rsid w:val="00D00973"/>
    <w:rsid w:val="00D1224F"/>
    <w:rsid w:val="00D601E2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B37E8"/>
    <w:rsid w:val="00FB3DD1"/>
    <w:rsid w:val="00FB44E4"/>
    <w:rsid w:val="00FC3836"/>
    <w:rsid w:val="00FC7A5A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794D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9F794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94D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9F794D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9F794D"/>
    <w:pPr>
      <w:spacing w:before="0" w:line="360" w:lineRule="auto"/>
      <w:jc w:val="center"/>
    </w:pPr>
    <w:rPr>
      <w:rFonts w:ascii="Century Gothic" w:hAnsi="Century Gothic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9F794D"/>
    <w:rPr>
      <w:rFonts w:ascii="Century Gothic" w:eastAsia="Times New Roman" w:hAnsi="Century Gothic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5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perator.enea.pl/ochrona-danych-osobowych-rodo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05BF40-BDD7-49E9-9199-325E43EB6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7F0C4-1172-4773-8DF4-02EF2054C3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27DECF-2771-4843-951E-6E8CBC0502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C23705-A8C6-497D-9484-8719931A1D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1912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Lewandowski Krzysztof (EOP) (ZD01R2ZR)</cp:lastModifiedBy>
  <cp:revision>4</cp:revision>
  <dcterms:created xsi:type="dcterms:W3CDTF">2025-10-29T11:51:00Z</dcterms:created>
  <dcterms:modified xsi:type="dcterms:W3CDTF">2025-11-27T06:19:00Z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2025-10-29T11:51:02Z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0de9182c-3191-4ddf-94be-33513fb271ed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